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08" w:rsidRDefault="00846A08" w:rsidP="00846A08">
      <w:pPr>
        <w:spacing w:after="0" w:line="240" w:lineRule="auto"/>
        <w:jc w:val="center"/>
      </w:pPr>
      <w:bookmarkStart w:id="0" w:name="_GoBack"/>
      <w:bookmarkEnd w:id="0"/>
      <w:r w:rsidRPr="009C752F">
        <w:rPr>
          <w:b/>
          <w:noProof/>
          <w:color w:val="2F5496" w:themeColor="accent5" w:themeShade="BF"/>
          <w:sz w:val="52"/>
          <w:szCs w:val="52"/>
        </w:rPr>
        <w:drawing>
          <wp:inline distT="0" distB="0" distL="0" distR="0" wp14:anchorId="2B8D9754" wp14:editId="71F33360">
            <wp:extent cx="2699334" cy="1160060"/>
            <wp:effectExtent l="0" t="0" r="0" b="0"/>
            <wp:docPr id="1"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5" name="Picture 324"/>
                    <pic:cNvPicPr>
                      <a:picLocks noChangeAspect="1" noChangeArrowheads="1"/>
                    </pic:cNvPicPr>
                  </pic:nvPicPr>
                  <pic:blipFill>
                    <a:blip r:embed="rId6"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784473" cy="1196649"/>
                    </a:xfrm>
                    <a:prstGeom prst="rect">
                      <a:avLst/>
                    </a:prstGeom>
                    <a:noFill/>
                    <a:ln>
                      <a:noFill/>
                    </a:ln>
                    <a:extLst/>
                  </pic:spPr>
                </pic:pic>
              </a:graphicData>
            </a:graphic>
          </wp:inline>
        </w:drawing>
      </w:r>
    </w:p>
    <w:p w:rsidR="00846A08" w:rsidRDefault="00846A08" w:rsidP="00846A08">
      <w:pPr>
        <w:spacing w:after="0" w:line="240" w:lineRule="auto"/>
        <w:jc w:val="center"/>
        <w:rPr>
          <w:rFonts w:cs="Arial"/>
          <w:b/>
          <w:color w:val="C00000"/>
          <w:sz w:val="32"/>
          <w:szCs w:val="32"/>
        </w:rPr>
      </w:pPr>
      <w:r w:rsidRPr="005E0436">
        <w:rPr>
          <w:rFonts w:cs="Arial"/>
          <w:b/>
          <w:color w:val="C00000"/>
          <w:sz w:val="32"/>
          <w:szCs w:val="32"/>
        </w:rPr>
        <w:t>Child Health Research Center</w:t>
      </w:r>
    </w:p>
    <w:p w:rsidR="00641681" w:rsidRDefault="00641681" w:rsidP="00641681">
      <w:pPr>
        <w:spacing w:after="0" w:line="240" w:lineRule="auto"/>
        <w:jc w:val="center"/>
        <w:rPr>
          <w:rFonts w:cs="Arial"/>
          <w:b/>
          <w:color w:val="C00000"/>
          <w:sz w:val="32"/>
          <w:szCs w:val="32"/>
        </w:rPr>
      </w:pPr>
      <w:r>
        <w:rPr>
          <w:rFonts w:cs="Arial"/>
          <w:b/>
          <w:color w:val="C00000"/>
          <w:sz w:val="32"/>
          <w:szCs w:val="32"/>
        </w:rPr>
        <w:t>Speaker Series</w:t>
      </w:r>
    </w:p>
    <w:p w:rsidR="00641681" w:rsidRDefault="00641681" w:rsidP="00641681">
      <w:pPr>
        <w:spacing w:after="0" w:line="240" w:lineRule="auto"/>
        <w:jc w:val="center"/>
        <w:rPr>
          <w:rFonts w:cs="Arial"/>
          <w:b/>
          <w:color w:val="C00000"/>
          <w:sz w:val="32"/>
          <w:szCs w:val="32"/>
        </w:rPr>
      </w:pPr>
      <w:r>
        <w:rPr>
          <w:rFonts w:ascii="Arial" w:hAnsi="Arial" w:cs="Arial"/>
          <w:noProof/>
          <w:sz w:val="18"/>
          <w:szCs w:val="18"/>
        </w:rPr>
        <w:drawing>
          <wp:inline distT="0" distB="0" distL="0" distR="0">
            <wp:extent cx="1774190" cy="2393315"/>
            <wp:effectExtent l="171450" t="171450" r="378460" b="387985"/>
            <wp:docPr id="4" name="Picture 4" descr="C:\Users\ss8tp\AppData\Local\Microsoft\Windows\Temporary Internet Files\Content.Word\CB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s8tp\AppData\Local\Microsoft\Windows\Temporary Internet Files\Content.Word\CBM.TIF"/>
                    <pic:cNvPicPr>
                      <a:picLocks noChangeAspect="1" noChangeArrowheads="1"/>
                    </pic:cNvPicPr>
                  </pic:nvPicPr>
                  <pic:blipFill rotWithShape="1">
                    <a:blip r:embed="rId7">
                      <a:extLst>
                        <a:ext uri="{28A0092B-C50C-407E-A947-70E740481C1C}">
                          <a14:useLocalDpi xmlns:a14="http://schemas.microsoft.com/office/drawing/2010/main" val="0"/>
                        </a:ext>
                      </a:extLst>
                    </a:blip>
                    <a:srcRect l="14125" t="8290" r="14689" b="3627"/>
                    <a:stretch/>
                  </pic:blipFill>
                  <pic:spPr bwMode="auto">
                    <a:xfrm>
                      <a:off x="0" y="0"/>
                      <a:ext cx="1774190" cy="2393315"/>
                    </a:xfrm>
                    <a:prstGeom prst="rect">
                      <a:avLst/>
                    </a:prstGeom>
                    <a:ln>
                      <a:solidFill>
                        <a:schemeClr val="bg1">
                          <a:lumMod val="50000"/>
                        </a:schemeClr>
                      </a:solid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641681" w:rsidRPr="000963C7" w:rsidRDefault="00641681" w:rsidP="00641681">
      <w:pPr>
        <w:spacing w:after="0" w:line="240" w:lineRule="auto"/>
        <w:ind w:left="990" w:right="990"/>
        <w:jc w:val="center"/>
        <w:rPr>
          <w:rFonts w:ascii="Arial" w:hAnsi="Arial" w:cs="Arial"/>
          <w:b/>
          <w:sz w:val="28"/>
          <w:szCs w:val="28"/>
        </w:rPr>
      </w:pPr>
      <w:r w:rsidRPr="000963C7">
        <w:rPr>
          <w:rFonts w:ascii="Arial" w:hAnsi="Arial" w:cs="Arial"/>
          <w:b/>
          <w:sz w:val="28"/>
          <w:szCs w:val="28"/>
        </w:rPr>
        <w:t>Carlos Bernal-Mizrachi, MD</w:t>
      </w:r>
    </w:p>
    <w:p w:rsidR="00641681" w:rsidRPr="00641681" w:rsidRDefault="00641681" w:rsidP="00641681">
      <w:pPr>
        <w:spacing w:after="0" w:line="240" w:lineRule="auto"/>
        <w:ind w:left="990" w:right="990"/>
        <w:jc w:val="center"/>
        <w:rPr>
          <w:rFonts w:ascii="Arial" w:hAnsi="Arial" w:cs="Arial"/>
          <w:sz w:val="16"/>
          <w:szCs w:val="16"/>
        </w:rPr>
      </w:pPr>
      <w:r w:rsidRPr="00641681">
        <w:rPr>
          <w:rFonts w:ascii="Arial" w:hAnsi="Arial" w:cs="Arial"/>
          <w:sz w:val="16"/>
          <w:szCs w:val="16"/>
        </w:rPr>
        <w:t>Associate Professor of Medicine, Cell Biology and Physiology</w:t>
      </w:r>
    </w:p>
    <w:p w:rsidR="00641681" w:rsidRPr="00641681" w:rsidRDefault="00641681" w:rsidP="00641681">
      <w:pPr>
        <w:spacing w:after="0" w:line="240" w:lineRule="auto"/>
        <w:ind w:left="990" w:right="990"/>
        <w:jc w:val="center"/>
        <w:rPr>
          <w:rFonts w:ascii="Arial" w:hAnsi="Arial" w:cs="Arial"/>
          <w:sz w:val="16"/>
          <w:szCs w:val="16"/>
        </w:rPr>
      </w:pPr>
      <w:r w:rsidRPr="00641681">
        <w:rPr>
          <w:rFonts w:ascii="Arial" w:hAnsi="Arial" w:cs="Arial"/>
          <w:sz w:val="16"/>
          <w:szCs w:val="16"/>
        </w:rPr>
        <w:t>Division of Endocrinology, Metabolism &amp; Lipid Research</w:t>
      </w:r>
    </w:p>
    <w:p w:rsidR="00641681" w:rsidRPr="00641681" w:rsidRDefault="00641681" w:rsidP="00641681">
      <w:pPr>
        <w:spacing w:after="0" w:line="240" w:lineRule="auto"/>
        <w:ind w:left="990" w:right="990"/>
        <w:jc w:val="center"/>
        <w:rPr>
          <w:rFonts w:ascii="Arial" w:hAnsi="Arial" w:cs="Arial"/>
          <w:b/>
          <w:sz w:val="16"/>
          <w:szCs w:val="16"/>
        </w:rPr>
      </w:pPr>
      <w:r w:rsidRPr="00641681">
        <w:rPr>
          <w:rFonts w:ascii="Arial" w:hAnsi="Arial" w:cs="Arial"/>
          <w:sz w:val="16"/>
          <w:szCs w:val="16"/>
        </w:rPr>
        <w:t xml:space="preserve">Washington University </w:t>
      </w:r>
    </w:p>
    <w:p w:rsidR="00641681" w:rsidRPr="002C6430" w:rsidRDefault="00641681" w:rsidP="00641681">
      <w:pPr>
        <w:spacing w:after="0" w:line="240" w:lineRule="auto"/>
        <w:ind w:left="990" w:right="990"/>
        <w:jc w:val="center"/>
        <w:rPr>
          <w:rFonts w:ascii="Arial" w:hAnsi="Arial" w:cs="Arial"/>
          <w:b/>
          <w:sz w:val="16"/>
          <w:szCs w:val="16"/>
        </w:rPr>
      </w:pPr>
    </w:p>
    <w:p w:rsidR="00641681" w:rsidRDefault="00641681" w:rsidP="00641681">
      <w:pPr>
        <w:spacing w:after="0" w:line="240" w:lineRule="auto"/>
        <w:ind w:left="990" w:right="990"/>
        <w:jc w:val="center"/>
        <w:rPr>
          <w:rFonts w:ascii="Arial" w:hAnsi="Arial" w:cs="Arial"/>
          <w:b/>
          <w:sz w:val="28"/>
          <w:szCs w:val="28"/>
        </w:rPr>
      </w:pPr>
      <w:r w:rsidRPr="002B6DD8">
        <w:rPr>
          <w:rFonts w:ascii="Arial" w:hAnsi="Arial" w:cs="Arial"/>
          <w:b/>
          <w:sz w:val="28"/>
          <w:szCs w:val="28"/>
        </w:rPr>
        <w:t>“</w:t>
      </w:r>
      <w:r w:rsidRPr="000963C7">
        <w:rPr>
          <w:rFonts w:ascii="Arial" w:hAnsi="Arial" w:cs="Arial"/>
          <w:b/>
          <w:sz w:val="28"/>
          <w:szCs w:val="28"/>
        </w:rPr>
        <w:t xml:space="preserve">Hypertension and inflammation: unexpected communication between </w:t>
      </w:r>
    </w:p>
    <w:p w:rsidR="00641681" w:rsidRDefault="00641681" w:rsidP="00641681">
      <w:pPr>
        <w:spacing w:after="0" w:line="240" w:lineRule="auto"/>
        <w:ind w:left="990" w:right="990"/>
        <w:jc w:val="center"/>
        <w:rPr>
          <w:rFonts w:ascii="Arial" w:hAnsi="Arial" w:cs="Arial"/>
          <w:b/>
          <w:sz w:val="28"/>
          <w:szCs w:val="28"/>
        </w:rPr>
      </w:pPr>
      <w:proofErr w:type="gramStart"/>
      <w:r w:rsidRPr="000963C7">
        <w:rPr>
          <w:rFonts w:ascii="Arial" w:hAnsi="Arial" w:cs="Arial"/>
          <w:b/>
          <w:sz w:val="28"/>
          <w:szCs w:val="28"/>
        </w:rPr>
        <w:t>innate</w:t>
      </w:r>
      <w:proofErr w:type="gramEnd"/>
      <w:r w:rsidRPr="000963C7">
        <w:rPr>
          <w:rFonts w:ascii="Arial" w:hAnsi="Arial" w:cs="Arial"/>
          <w:b/>
          <w:sz w:val="28"/>
          <w:szCs w:val="28"/>
        </w:rPr>
        <w:t xml:space="preserve"> immunity and juxtaglomerular cells</w:t>
      </w:r>
      <w:r w:rsidRPr="002B6DD8">
        <w:rPr>
          <w:rFonts w:ascii="Arial" w:hAnsi="Arial" w:cs="Arial"/>
          <w:b/>
          <w:sz w:val="28"/>
          <w:szCs w:val="28"/>
        </w:rPr>
        <w:t>”</w:t>
      </w:r>
    </w:p>
    <w:p w:rsidR="00641681" w:rsidRPr="002C6430" w:rsidRDefault="00641681" w:rsidP="00641681">
      <w:pPr>
        <w:spacing w:after="0" w:line="240" w:lineRule="auto"/>
        <w:ind w:left="990" w:right="990"/>
        <w:jc w:val="center"/>
        <w:rPr>
          <w:rFonts w:ascii="Arial" w:hAnsi="Arial" w:cs="Arial"/>
          <w:i/>
          <w:sz w:val="16"/>
          <w:szCs w:val="16"/>
        </w:rPr>
      </w:pPr>
    </w:p>
    <w:p w:rsidR="00641681" w:rsidRPr="005E0436" w:rsidRDefault="00641681" w:rsidP="00641681">
      <w:pPr>
        <w:spacing w:after="0" w:line="240" w:lineRule="auto"/>
        <w:ind w:left="990" w:right="990"/>
        <w:jc w:val="center"/>
        <w:rPr>
          <w:rFonts w:ascii="Arial" w:hAnsi="Arial" w:cs="Arial"/>
          <w:b/>
          <w:sz w:val="24"/>
          <w:szCs w:val="24"/>
        </w:rPr>
      </w:pPr>
      <w:r w:rsidRPr="005E0436">
        <w:rPr>
          <w:rFonts w:ascii="Arial" w:hAnsi="Arial" w:cs="Arial"/>
          <w:b/>
          <w:sz w:val="24"/>
          <w:szCs w:val="24"/>
        </w:rPr>
        <w:t xml:space="preserve">Friday, </w:t>
      </w:r>
      <w:r>
        <w:rPr>
          <w:rFonts w:ascii="Arial" w:hAnsi="Arial" w:cs="Arial"/>
          <w:b/>
          <w:sz w:val="24"/>
          <w:szCs w:val="24"/>
        </w:rPr>
        <w:t>March 8</w:t>
      </w:r>
      <w:r w:rsidRPr="00641681">
        <w:rPr>
          <w:rFonts w:ascii="Arial" w:hAnsi="Arial" w:cs="Arial"/>
          <w:b/>
          <w:sz w:val="24"/>
          <w:szCs w:val="24"/>
          <w:vertAlign w:val="superscript"/>
        </w:rPr>
        <w:t>th</w:t>
      </w:r>
      <w:r>
        <w:rPr>
          <w:rFonts w:ascii="Arial" w:hAnsi="Arial" w:cs="Arial"/>
          <w:b/>
          <w:sz w:val="24"/>
          <w:szCs w:val="24"/>
        </w:rPr>
        <w:t>, 2019</w:t>
      </w:r>
      <w:r w:rsidRPr="005E0436">
        <w:rPr>
          <w:rFonts w:ascii="Arial" w:hAnsi="Arial" w:cs="Arial"/>
          <w:b/>
          <w:sz w:val="24"/>
          <w:szCs w:val="24"/>
        </w:rPr>
        <w:t xml:space="preserve"> </w:t>
      </w:r>
    </w:p>
    <w:p w:rsidR="00641681" w:rsidRPr="005E0436" w:rsidRDefault="00641681" w:rsidP="00641681">
      <w:pPr>
        <w:spacing w:after="0" w:line="240" w:lineRule="auto"/>
        <w:ind w:left="990" w:right="990"/>
        <w:jc w:val="center"/>
        <w:rPr>
          <w:rFonts w:ascii="Arial" w:hAnsi="Arial" w:cs="Arial"/>
          <w:b/>
          <w:sz w:val="24"/>
          <w:szCs w:val="24"/>
        </w:rPr>
      </w:pPr>
      <w:r w:rsidRPr="005E0436">
        <w:rPr>
          <w:rFonts w:ascii="Arial" w:hAnsi="Arial" w:cs="Arial"/>
          <w:b/>
          <w:sz w:val="24"/>
          <w:szCs w:val="24"/>
        </w:rPr>
        <w:t>12:00 – 1:00 pm (lunch at 11:45)*</w:t>
      </w:r>
    </w:p>
    <w:p w:rsidR="00641681" w:rsidRPr="005E0436" w:rsidRDefault="00641681" w:rsidP="00641681">
      <w:pPr>
        <w:spacing w:after="0" w:line="240" w:lineRule="auto"/>
        <w:ind w:left="990" w:right="990"/>
        <w:jc w:val="center"/>
        <w:rPr>
          <w:rFonts w:ascii="Arial" w:hAnsi="Arial" w:cs="Arial"/>
          <w:b/>
          <w:sz w:val="24"/>
          <w:szCs w:val="24"/>
        </w:rPr>
      </w:pPr>
      <w:r w:rsidRPr="005E0436">
        <w:rPr>
          <w:rFonts w:ascii="Arial" w:hAnsi="Arial" w:cs="Arial"/>
          <w:b/>
          <w:sz w:val="24"/>
          <w:szCs w:val="24"/>
        </w:rPr>
        <w:t>Battle Bldg. Quayle Learning Center</w:t>
      </w:r>
    </w:p>
    <w:p w:rsidR="00641681" w:rsidRPr="005E0436" w:rsidRDefault="00641681" w:rsidP="00641681">
      <w:pPr>
        <w:spacing w:after="0" w:line="240" w:lineRule="auto"/>
        <w:ind w:left="990" w:right="990"/>
        <w:jc w:val="center"/>
        <w:rPr>
          <w:rFonts w:ascii="Arial" w:hAnsi="Arial" w:cs="Arial"/>
          <w:i/>
          <w:sz w:val="24"/>
          <w:szCs w:val="24"/>
        </w:rPr>
      </w:pPr>
      <w:r w:rsidRPr="005E0436">
        <w:rPr>
          <w:rFonts w:ascii="Arial" w:hAnsi="Arial" w:cs="Arial"/>
          <w:i/>
          <w:sz w:val="24"/>
          <w:szCs w:val="24"/>
        </w:rPr>
        <w:t>*Free lunch served on a first-come basis starting at 11:45 a.m.</w:t>
      </w:r>
    </w:p>
    <w:p w:rsidR="00641681" w:rsidRPr="00C014D6" w:rsidRDefault="00641681" w:rsidP="00641681">
      <w:pPr>
        <w:spacing w:after="0" w:line="240" w:lineRule="auto"/>
        <w:ind w:left="990" w:right="990"/>
        <w:jc w:val="center"/>
        <w:rPr>
          <w:rFonts w:ascii="Arial" w:hAnsi="Arial" w:cs="Arial"/>
          <w:b/>
          <w:sz w:val="8"/>
          <w:szCs w:val="8"/>
        </w:rPr>
      </w:pPr>
    </w:p>
    <w:p w:rsidR="00D11F4B" w:rsidRPr="00381526" w:rsidRDefault="00D11F4B" w:rsidP="005E0436">
      <w:pPr>
        <w:spacing w:after="0"/>
        <w:ind w:left="1080"/>
        <w:rPr>
          <w:rFonts w:ascii="Arial" w:hAnsi="Arial" w:cs="Arial"/>
          <w:b/>
          <w:sz w:val="16"/>
          <w:szCs w:val="16"/>
          <w:u w:val="single"/>
        </w:rPr>
      </w:pPr>
    </w:p>
    <w:p w:rsidR="005E0436" w:rsidRPr="00846A08" w:rsidRDefault="005E0436" w:rsidP="00BD47DF">
      <w:pPr>
        <w:spacing w:after="0"/>
        <w:ind w:left="540" w:right="720"/>
        <w:rPr>
          <w:rFonts w:ascii="Arial" w:hAnsi="Arial" w:cs="Arial"/>
          <w:b/>
          <w:sz w:val="16"/>
          <w:szCs w:val="16"/>
          <w:u w:val="single"/>
        </w:rPr>
      </w:pPr>
      <w:r w:rsidRPr="00846A08">
        <w:rPr>
          <w:rFonts w:ascii="Arial" w:hAnsi="Arial" w:cs="Arial"/>
          <w:b/>
          <w:sz w:val="16"/>
          <w:szCs w:val="16"/>
          <w:u w:val="single"/>
        </w:rPr>
        <w:t xml:space="preserve">Learning Objectives: </w:t>
      </w:r>
    </w:p>
    <w:p w:rsidR="00641681" w:rsidRPr="00641681" w:rsidRDefault="00641681" w:rsidP="00641681">
      <w:pPr>
        <w:tabs>
          <w:tab w:val="left" w:pos="1080"/>
        </w:tabs>
        <w:spacing w:after="0" w:line="240" w:lineRule="auto"/>
        <w:ind w:left="810" w:right="547"/>
        <w:jc w:val="both"/>
        <w:rPr>
          <w:rFonts w:eastAsia="Times New Roman"/>
          <w:sz w:val="16"/>
          <w:szCs w:val="16"/>
        </w:rPr>
      </w:pPr>
      <w:r w:rsidRPr="00641681">
        <w:rPr>
          <w:rFonts w:eastAsia="Times New Roman"/>
          <w:sz w:val="16"/>
          <w:szCs w:val="16"/>
        </w:rPr>
        <w:t>1. Vitamin D in regulation of blood pressure.</w:t>
      </w:r>
    </w:p>
    <w:p w:rsidR="00641681" w:rsidRPr="00641681" w:rsidRDefault="00641681" w:rsidP="00641681">
      <w:pPr>
        <w:tabs>
          <w:tab w:val="left" w:pos="1080"/>
        </w:tabs>
        <w:spacing w:after="0" w:line="240" w:lineRule="auto"/>
        <w:ind w:left="810" w:right="547"/>
        <w:jc w:val="both"/>
        <w:rPr>
          <w:rFonts w:eastAsia="Times New Roman"/>
          <w:sz w:val="16"/>
          <w:szCs w:val="16"/>
        </w:rPr>
      </w:pPr>
      <w:r w:rsidRPr="00641681">
        <w:rPr>
          <w:rFonts w:eastAsia="Times New Roman"/>
          <w:sz w:val="16"/>
          <w:szCs w:val="16"/>
        </w:rPr>
        <w:t>2. Role of monocytes in renin dependent hypertension.</w:t>
      </w:r>
    </w:p>
    <w:p w:rsidR="00641681" w:rsidRDefault="00641681" w:rsidP="00641681">
      <w:pPr>
        <w:tabs>
          <w:tab w:val="left" w:pos="1080"/>
        </w:tabs>
        <w:spacing w:after="0" w:line="240" w:lineRule="auto"/>
        <w:ind w:left="810" w:right="547"/>
        <w:jc w:val="both"/>
        <w:rPr>
          <w:rFonts w:eastAsia="Times New Roman"/>
          <w:sz w:val="16"/>
          <w:szCs w:val="16"/>
        </w:rPr>
      </w:pPr>
      <w:r w:rsidRPr="00641681">
        <w:rPr>
          <w:rFonts w:eastAsia="Times New Roman"/>
          <w:sz w:val="16"/>
          <w:szCs w:val="16"/>
        </w:rPr>
        <w:t>3. MicroRNAs and renin secretion.</w:t>
      </w:r>
    </w:p>
    <w:p w:rsidR="00B33CBD" w:rsidRPr="00846A08" w:rsidRDefault="00B33CBD" w:rsidP="00641681">
      <w:pPr>
        <w:tabs>
          <w:tab w:val="left" w:pos="1080"/>
        </w:tabs>
        <w:spacing w:after="60"/>
        <w:ind w:left="540" w:right="540"/>
        <w:jc w:val="both"/>
        <w:rPr>
          <w:rFonts w:ascii="Arial" w:hAnsi="Arial" w:cs="Arial"/>
          <w:b/>
          <w:sz w:val="16"/>
          <w:szCs w:val="16"/>
          <w:u w:val="single"/>
        </w:rPr>
      </w:pPr>
      <w:r w:rsidRPr="00846A08">
        <w:rPr>
          <w:rFonts w:ascii="Arial" w:hAnsi="Arial" w:cs="Arial"/>
          <w:b/>
          <w:sz w:val="16"/>
          <w:szCs w:val="16"/>
          <w:u w:val="single"/>
        </w:rPr>
        <w:t>Disclosures:</w:t>
      </w:r>
    </w:p>
    <w:p w:rsidR="00B33CBD" w:rsidRPr="00846A08" w:rsidRDefault="00B33CBD" w:rsidP="00846A08">
      <w:pPr>
        <w:tabs>
          <w:tab w:val="left" w:pos="1080"/>
        </w:tabs>
        <w:spacing w:after="0" w:line="240" w:lineRule="auto"/>
        <w:ind w:left="540" w:right="540"/>
        <w:jc w:val="both"/>
        <w:rPr>
          <w:rFonts w:ascii="Arial" w:hAnsi="Arial" w:cs="Arial"/>
          <w:b/>
          <w:sz w:val="14"/>
          <w:szCs w:val="14"/>
          <w:u w:val="single"/>
        </w:rPr>
      </w:pPr>
      <w:r w:rsidRPr="00846A08">
        <w:rPr>
          <w:rFonts w:ascii="Arial" w:hAnsi="Arial" w:cs="Arial"/>
          <w:b/>
          <w:sz w:val="14"/>
          <w:szCs w:val="14"/>
        </w:rPr>
        <w:t>Speaker:</w:t>
      </w:r>
      <w:r w:rsidRPr="00846A08">
        <w:rPr>
          <w:rFonts w:ascii="Arial" w:hAnsi="Arial" w:cs="Arial"/>
          <w:sz w:val="14"/>
          <w:szCs w:val="14"/>
        </w:rPr>
        <w:t xml:space="preserve"> Dr. </w:t>
      </w:r>
      <w:r w:rsidR="00641681">
        <w:rPr>
          <w:rFonts w:ascii="Arial" w:hAnsi="Arial" w:cs="Arial"/>
          <w:sz w:val="14"/>
          <w:szCs w:val="14"/>
        </w:rPr>
        <w:t>Bernal-Mizrachi</w:t>
      </w:r>
      <w:r w:rsidRPr="00846A08">
        <w:rPr>
          <w:rFonts w:ascii="Arial" w:hAnsi="Arial" w:cs="Arial"/>
          <w:sz w:val="14"/>
          <w:szCs w:val="14"/>
        </w:rPr>
        <w:t xml:space="preserve"> </w:t>
      </w:r>
      <w:r w:rsidR="000424AF" w:rsidRPr="000424AF">
        <w:rPr>
          <w:rFonts w:ascii="Arial" w:hAnsi="Arial" w:cs="Arial"/>
          <w:sz w:val="14"/>
          <w:szCs w:val="14"/>
        </w:rPr>
        <w:t>does not have any personal or professional financial relationships with a commercial entity producing healthcare goods and/or services.</w:t>
      </w:r>
      <w:r w:rsidR="000424AF">
        <w:rPr>
          <w:rFonts w:ascii="Arial" w:hAnsi="Arial" w:cs="Arial"/>
          <w:sz w:val="14"/>
          <w:szCs w:val="14"/>
        </w:rPr>
        <w:t xml:space="preserve"> </w:t>
      </w:r>
      <w:r w:rsidRPr="00846A08">
        <w:rPr>
          <w:rFonts w:ascii="Arial" w:hAnsi="Arial" w:cs="Arial"/>
          <w:b/>
          <w:sz w:val="14"/>
          <w:szCs w:val="14"/>
        </w:rPr>
        <w:t xml:space="preserve">Planning Committee: </w:t>
      </w:r>
      <w:r w:rsidRPr="00846A08">
        <w:rPr>
          <w:rFonts w:ascii="Arial" w:hAnsi="Arial" w:cs="Arial"/>
          <w:sz w:val="14"/>
          <w:szCs w:val="14"/>
        </w:rPr>
        <w:t xml:space="preserve">Maria-Luisa </w:t>
      </w:r>
      <w:proofErr w:type="spellStart"/>
      <w:r w:rsidRPr="00846A08">
        <w:rPr>
          <w:rFonts w:ascii="Arial" w:hAnsi="Arial" w:cs="Arial"/>
          <w:sz w:val="14"/>
          <w:szCs w:val="14"/>
        </w:rPr>
        <w:t>Sequeira</w:t>
      </w:r>
      <w:proofErr w:type="spellEnd"/>
      <w:r w:rsidRPr="00846A08">
        <w:rPr>
          <w:rFonts w:ascii="Arial" w:hAnsi="Arial" w:cs="Arial"/>
          <w:sz w:val="14"/>
          <w:szCs w:val="14"/>
        </w:rPr>
        <w:t xml:space="preserve"> Lopez, MD does not have any personal or professional financial relationships with commercial entities producing healthcare goods and/or services. </w:t>
      </w:r>
      <w:r w:rsidRPr="00846A08">
        <w:rPr>
          <w:rFonts w:ascii="Arial" w:hAnsi="Arial" w:cs="Arial"/>
          <w:b/>
          <w:sz w:val="14"/>
          <w:szCs w:val="14"/>
        </w:rPr>
        <w:t xml:space="preserve"> </w:t>
      </w:r>
      <w:r w:rsidRPr="00846A08">
        <w:rPr>
          <w:rFonts w:ascii="Arial" w:hAnsi="Arial" w:cs="Arial"/>
          <w:sz w:val="14"/>
          <w:szCs w:val="14"/>
        </w:rPr>
        <w:t>W. Gerald Teague, MD is on the Advisory Committee/ Board of TEVA and Glaxo-Smith Kline.  He is also an industry-funded investigator for TEVA (asthma clinical trials) and a consultant for Genentech.  Faculty and staff of the University of Virginia Office of Continuing Medical Education do not have any personal or professional financial relationships with commercial entities producing healthcare goods &amp;/or services.</w:t>
      </w:r>
    </w:p>
    <w:p w:rsidR="00B33CBD" w:rsidRPr="00846A08" w:rsidRDefault="00B33CBD" w:rsidP="00BD47DF">
      <w:pPr>
        <w:tabs>
          <w:tab w:val="left" w:pos="1080"/>
        </w:tabs>
        <w:spacing w:after="0" w:line="240" w:lineRule="auto"/>
        <w:ind w:left="540" w:right="540"/>
        <w:jc w:val="both"/>
        <w:rPr>
          <w:rFonts w:ascii="Arial" w:hAnsi="Arial" w:cs="Arial"/>
          <w:b/>
          <w:sz w:val="16"/>
          <w:szCs w:val="16"/>
        </w:rPr>
      </w:pPr>
      <w:r w:rsidRPr="00846A08">
        <w:rPr>
          <w:rFonts w:ascii="Arial" w:hAnsi="Arial" w:cs="Arial"/>
          <w:b/>
          <w:sz w:val="16"/>
          <w:szCs w:val="16"/>
        </w:rPr>
        <w:t xml:space="preserve">CE Activity Code: </w:t>
      </w:r>
      <w:r w:rsidR="00641681">
        <w:rPr>
          <w:rFonts w:ascii="Arial" w:hAnsi="Arial" w:cs="Arial"/>
          <w:b/>
          <w:sz w:val="16"/>
          <w:szCs w:val="16"/>
        </w:rPr>
        <w:t>TBA</w:t>
      </w:r>
      <w:r w:rsidRPr="00846A08">
        <w:rPr>
          <w:rFonts w:ascii="Arial" w:hAnsi="Arial" w:cs="Arial"/>
          <w:b/>
          <w:sz w:val="16"/>
          <w:szCs w:val="16"/>
        </w:rPr>
        <w:t xml:space="preserve"> </w:t>
      </w:r>
    </w:p>
    <w:p w:rsidR="00A06A9C" w:rsidRPr="00381526" w:rsidRDefault="00846A08" w:rsidP="00846A08">
      <w:pPr>
        <w:tabs>
          <w:tab w:val="left" w:pos="1080"/>
        </w:tabs>
        <w:spacing w:after="0" w:line="240" w:lineRule="auto"/>
        <w:ind w:left="540" w:right="540"/>
        <w:jc w:val="both"/>
        <w:rPr>
          <w:rFonts w:ascii="Arial" w:hAnsi="Arial" w:cs="Arial"/>
          <w:sz w:val="16"/>
          <w:szCs w:val="16"/>
        </w:rPr>
      </w:pPr>
      <w:r w:rsidRPr="006E2B99">
        <w:rPr>
          <w:rFonts w:ascii="Arial" w:hAnsi="Arial" w:cs="Arial"/>
          <w:b/>
          <w:sz w:val="14"/>
          <w:szCs w:val="14"/>
        </w:rPr>
        <w:t>To claim your credit:</w:t>
      </w:r>
      <w:r w:rsidRPr="006E2B99">
        <w:rPr>
          <w:rFonts w:ascii="Arial" w:hAnsi="Arial" w:cs="Arial"/>
          <w:sz w:val="14"/>
          <w:szCs w:val="14"/>
        </w:rPr>
        <w:t xml:space="preserve"> </w:t>
      </w:r>
      <w:r w:rsidRPr="006E2B99">
        <w:rPr>
          <w:rFonts w:ascii="Arial" w:hAnsi="Arial" w:cs="Arial"/>
          <w:b/>
          <w:sz w:val="14"/>
          <w:szCs w:val="14"/>
        </w:rPr>
        <w:t>1)</w:t>
      </w:r>
      <w:r w:rsidRPr="006E2B99">
        <w:rPr>
          <w:rFonts w:ascii="Arial" w:hAnsi="Arial" w:cs="Arial"/>
          <w:sz w:val="14"/>
          <w:szCs w:val="14"/>
        </w:rPr>
        <w:t xml:space="preserve"> Using a Windows-based computer and Google Chrome, please go to www.cmevillage.com and choose “Learning Portal”.  Choose CE Certificate, then sign in. (New users need to Create an Account-best done on a computer).  Use the assigned Activity Code XXXXXX, complete the evaluation and submit it. Enter the number of credits you are claiming and choose submit.  Either print your certificate or access it or your transcript later via “Learning Portal”. </w:t>
      </w:r>
      <w:r w:rsidRPr="006E2B99">
        <w:rPr>
          <w:rFonts w:ascii="Arial" w:hAnsi="Arial" w:cs="Arial"/>
          <w:b/>
          <w:sz w:val="14"/>
          <w:szCs w:val="14"/>
        </w:rPr>
        <w:t>2)</w:t>
      </w:r>
      <w:r w:rsidRPr="006E2B99">
        <w:rPr>
          <w:rFonts w:ascii="Arial" w:hAnsi="Arial" w:cs="Arial"/>
          <w:sz w:val="14"/>
          <w:szCs w:val="14"/>
        </w:rPr>
        <w:t xml:space="preserve"> Using a smart phone to complete your evaluation go to www.cmevillage.com then SCROLL DOWN to find Learning Portal-be sure to use Google Chrome-not Safari as your browser choose the box with horizontal black lines, scroll down to “CE Certificate” and sign in. (New users need to Create an Account-best done on a computer).  Use the assigned Activity Code XXXXXX, complete the evaluation and submit it. Enter the number of credits you are claiming and choose submit. </w:t>
      </w:r>
      <w:r w:rsidRPr="00D35704">
        <w:rPr>
          <w:rFonts w:ascii="Arial" w:hAnsi="Arial" w:cs="Arial"/>
          <w:sz w:val="14"/>
          <w:szCs w:val="14"/>
        </w:rPr>
        <w:t xml:space="preserve">The University </w:t>
      </w:r>
      <w:proofErr w:type="gramStart"/>
      <w:r w:rsidRPr="00D35704">
        <w:rPr>
          <w:rFonts w:ascii="Arial" w:hAnsi="Arial" w:cs="Arial"/>
          <w:sz w:val="14"/>
          <w:szCs w:val="14"/>
        </w:rPr>
        <w:t>of Virginia School of</w:t>
      </w:r>
      <w:proofErr w:type="gramEnd"/>
      <w:r w:rsidRPr="00D35704">
        <w:rPr>
          <w:rFonts w:ascii="Arial" w:hAnsi="Arial" w:cs="Arial"/>
          <w:sz w:val="14"/>
          <w:szCs w:val="14"/>
        </w:rPr>
        <w:t xml:space="preserve"> Medicine is accredited by the ACCME to provide continuing medical education for physicians.  The University </w:t>
      </w:r>
      <w:proofErr w:type="gramStart"/>
      <w:r w:rsidRPr="00D35704">
        <w:rPr>
          <w:rFonts w:ascii="Arial" w:hAnsi="Arial" w:cs="Arial"/>
          <w:sz w:val="14"/>
          <w:szCs w:val="14"/>
        </w:rPr>
        <w:t>of Virginia School of</w:t>
      </w:r>
      <w:proofErr w:type="gramEnd"/>
      <w:r w:rsidRPr="00D35704">
        <w:rPr>
          <w:rFonts w:ascii="Arial" w:hAnsi="Arial" w:cs="Arial"/>
          <w:sz w:val="14"/>
          <w:szCs w:val="14"/>
        </w:rPr>
        <w:t xml:space="preserve"> Medicine is accredited by the ACCME to provide continuing medical education for physicians. The University of Virginia School of Medicine designates this live activity for a maximum of one </w:t>
      </w:r>
      <w:r w:rsidRPr="00D35704">
        <w:rPr>
          <w:rFonts w:ascii="Arial" w:hAnsi="Arial" w:cs="Arial"/>
          <w:i/>
          <w:sz w:val="14"/>
          <w:szCs w:val="14"/>
        </w:rPr>
        <w:t>AMA PRA Category 1 Credit(s</w:t>
      </w:r>
      <w:proofErr w:type="gramStart"/>
      <w:r w:rsidRPr="00D35704">
        <w:rPr>
          <w:rFonts w:ascii="Arial" w:hAnsi="Arial" w:cs="Arial"/>
          <w:i/>
          <w:sz w:val="14"/>
          <w:szCs w:val="14"/>
        </w:rPr>
        <w:t>)™</w:t>
      </w:r>
      <w:proofErr w:type="gramEnd"/>
      <w:r w:rsidRPr="00D35704">
        <w:rPr>
          <w:rFonts w:ascii="Arial" w:hAnsi="Arial" w:cs="Arial"/>
          <w:sz w:val="14"/>
          <w:szCs w:val="14"/>
        </w:rPr>
        <w:t xml:space="preserve">. Physicians should claim only the credit commensurate with the extent of their participation in the activity.  The University of Virginia School of Medicine awards one hour of participation (equivalent to </w:t>
      </w:r>
      <w:r w:rsidRPr="00D35704">
        <w:rPr>
          <w:rFonts w:ascii="Arial" w:hAnsi="Arial" w:cs="Arial"/>
          <w:i/>
          <w:sz w:val="14"/>
          <w:szCs w:val="14"/>
        </w:rPr>
        <w:t>AMA PRA Category 1 Credit(s</w:t>
      </w:r>
      <w:proofErr w:type="gramStart"/>
      <w:r w:rsidRPr="00D35704">
        <w:rPr>
          <w:rFonts w:ascii="Arial" w:hAnsi="Arial" w:cs="Arial"/>
          <w:i/>
          <w:sz w:val="14"/>
          <w:szCs w:val="14"/>
        </w:rPr>
        <w:t>)™</w:t>
      </w:r>
      <w:proofErr w:type="gramEnd"/>
      <w:r w:rsidRPr="00D35704">
        <w:rPr>
          <w:rFonts w:ascii="Arial" w:hAnsi="Arial" w:cs="Arial"/>
          <w:sz w:val="14"/>
          <w:szCs w:val="14"/>
        </w:rPr>
        <w:t xml:space="preserve">) to each non-physician participant who successfully completes this educational activity. The University </w:t>
      </w:r>
      <w:proofErr w:type="gramStart"/>
      <w:r w:rsidRPr="00D35704">
        <w:rPr>
          <w:rFonts w:ascii="Arial" w:hAnsi="Arial" w:cs="Arial"/>
          <w:sz w:val="14"/>
          <w:szCs w:val="14"/>
        </w:rPr>
        <w:t>of Virginia School of</w:t>
      </w:r>
      <w:proofErr w:type="gramEnd"/>
      <w:r w:rsidRPr="00D35704">
        <w:rPr>
          <w:rFonts w:ascii="Arial" w:hAnsi="Arial" w:cs="Arial"/>
          <w:sz w:val="14"/>
          <w:szCs w:val="14"/>
        </w:rPr>
        <w:t xml:space="preserve"> Medicine maintains a record of participation for six (6) years. To obtain a copy of your continuing education transcript please go to </w:t>
      </w:r>
      <w:hyperlink r:id="rId8" w:history="1">
        <w:r w:rsidRPr="00D35704">
          <w:rPr>
            <w:rStyle w:val="Hyperlink"/>
            <w:rFonts w:ascii="Arial" w:hAnsi="Arial" w:cs="Arial"/>
            <w:sz w:val="14"/>
            <w:szCs w:val="14"/>
          </w:rPr>
          <w:t>www.cmevillage.com</w:t>
        </w:r>
      </w:hyperlink>
      <w:r w:rsidRPr="00D35704">
        <w:rPr>
          <w:rFonts w:ascii="Arial" w:hAnsi="Arial" w:cs="Arial"/>
          <w:sz w:val="14"/>
          <w:szCs w:val="14"/>
        </w:rPr>
        <w:t xml:space="preserve"> and click on Transcripts and follow the instructions. The University of Virginia School of Medicine awards one hour of participation (equivalent to </w:t>
      </w:r>
      <w:r w:rsidRPr="00D35704">
        <w:rPr>
          <w:rFonts w:ascii="Arial" w:hAnsi="Arial" w:cs="Arial"/>
          <w:i/>
          <w:sz w:val="14"/>
          <w:szCs w:val="14"/>
        </w:rPr>
        <w:t>AMA PRA Category 1 Credit(s</w:t>
      </w:r>
      <w:proofErr w:type="gramStart"/>
      <w:r w:rsidRPr="00D35704">
        <w:rPr>
          <w:rFonts w:ascii="Arial" w:hAnsi="Arial" w:cs="Arial"/>
          <w:i/>
          <w:sz w:val="14"/>
          <w:szCs w:val="14"/>
        </w:rPr>
        <w:t>)™</w:t>
      </w:r>
      <w:proofErr w:type="gramEnd"/>
      <w:r w:rsidRPr="00D35704">
        <w:rPr>
          <w:rFonts w:ascii="Arial" w:hAnsi="Arial" w:cs="Arial"/>
          <w:sz w:val="14"/>
          <w:szCs w:val="14"/>
        </w:rPr>
        <w:t xml:space="preserve">) to each non-physician participant who successfully completes this educational activity. The University </w:t>
      </w:r>
      <w:proofErr w:type="gramStart"/>
      <w:r w:rsidRPr="00D35704">
        <w:rPr>
          <w:rFonts w:ascii="Arial" w:hAnsi="Arial" w:cs="Arial"/>
          <w:sz w:val="14"/>
          <w:szCs w:val="14"/>
        </w:rPr>
        <w:t>of Virginia School of</w:t>
      </w:r>
      <w:proofErr w:type="gramEnd"/>
      <w:r w:rsidRPr="00D35704">
        <w:rPr>
          <w:rFonts w:ascii="Arial" w:hAnsi="Arial" w:cs="Arial"/>
          <w:sz w:val="14"/>
          <w:szCs w:val="14"/>
        </w:rPr>
        <w:t xml:space="preserve"> Medicine maintains a record of participation for six (6) years. To obtain a copy of your continuing education transcript please go to </w:t>
      </w:r>
      <w:hyperlink r:id="rId9" w:history="1">
        <w:r w:rsidRPr="00D35704">
          <w:rPr>
            <w:rStyle w:val="Hyperlink"/>
            <w:rFonts w:ascii="Arial" w:hAnsi="Arial" w:cs="Arial"/>
            <w:sz w:val="14"/>
            <w:szCs w:val="14"/>
          </w:rPr>
          <w:t>www.cmevillage.com</w:t>
        </w:r>
      </w:hyperlink>
      <w:r w:rsidRPr="00D35704">
        <w:rPr>
          <w:rFonts w:ascii="Arial" w:hAnsi="Arial" w:cs="Arial"/>
          <w:sz w:val="14"/>
          <w:szCs w:val="14"/>
        </w:rPr>
        <w:t xml:space="preserve"> and click on Transcripts and follow the instructions.</w:t>
      </w:r>
    </w:p>
    <w:sectPr w:rsidR="00A06A9C" w:rsidRPr="00381526" w:rsidSect="009C752F">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F40D3"/>
    <w:multiLevelType w:val="hybridMultilevel"/>
    <w:tmpl w:val="3DCE7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52"/>
    <w:rsid w:val="000424AF"/>
    <w:rsid w:val="000C31D4"/>
    <w:rsid w:val="0012366E"/>
    <w:rsid w:val="001B1966"/>
    <w:rsid w:val="001C72B4"/>
    <w:rsid w:val="002415B5"/>
    <w:rsid w:val="002B6DD8"/>
    <w:rsid w:val="00305B57"/>
    <w:rsid w:val="0031060E"/>
    <w:rsid w:val="00351C1D"/>
    <w:rsid w:val="00355243"/>
    <w:rsid w:val="00367F6E"/>
    <w:rsid w:val="00381526"/>
    <w:rsid w:val="00445409"/>
    <w:rsid w:val="0051323D"/>
    <w:rsid w:val="005275BA"/>
    <w:rsid w:val="005B26F3"/>
    <w:rsid w:val="005E0436"/>
    <w:rsid w:val="0060509A"/>
    <w:rsid w:val="00641681"/>
    <w:rsid w:val="00720A5A"/>
    <w:rsid w:val="00724E75"/>
    <w:rsid w:val="00774576"/>
    <w:rsid w:val="0078572A"/>
    <w:rsid w:val="007A4BFD"/>
    <w:rsid w:val="00846A08"/>
    <w:rsid w:val="008547BA"/>
    <w:rsid w:val="008A2CC3"/>
    <w:rsid w:val="008B24C4"/>
    <w:rsid w:val="009C752F"/>
    <w:rsid w:val="00A06A9C"/>
    <w:rsid w:val="00A37C8A"/>
    <w:rsid w:val="00A97721"/>
    <w:rsid w:val="00AC50D8"/>
    <w:rsid w:val="00AE7B21"/>
    <w:rsid w:val="00AF115F"/>
    <w:rsid w:val="00B021B4"/>
    <w:rsid w:val="00B33CBD"/>
    <w:rsid w:val="00BA5004"/>
    <w:rsid w:val="00BA7FF2"/>
    <w:rsid w:val="00BD47DF"/>
    <w:rsid w:val="00C06069"/>
    <w:rsid w:val="00C15E7C"/>
    <w:rsid w:val="00C32221"/>
    <w:rsid w:val="00CB065E"/>
    <w:rsid w:val="00CE759E"/>
    <w:rsid w:val="00D11F4B"/>
    <w:rsid w:val="00D72B5F"/>
    <w:rsid w:val="00D735A2"/>
    <w:rsid w:val="00E10AB8"/>
    <w:rsid w:val="00E5077D"/>
    <w:rsid w:val="00EC65B1"/>
    <w:rsid w:val="00F82452"/>
    <w:rsid w:val="00FD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DA45E-0044-49D5-BEE4-2CD98A32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52F"/>
    <w:rPr>
      <w:rFonts w:ascii="Segoe UI" w:hAnsi="Segoe UI" w:cs="Segoe UI"/>
      <w:sz w:val="18"/>
      <w:szCs w:val="18"/>
    </w:rPr>
  </w:style>
  <w:style w:type="paragraph" w:styleId="ListParagraph">
    <w:name w:val="List Paragraph"/>
    <w:basedOn w:val="Normal"/>
    <w:uiPriority w:val="34"/>
    <w:qFormat/>
    <w:rsid w:val="008547BA"/>
    <w:pPr>
      <w:ind w:left="720"/>
      <w:contextualSpacing/>
    </w:pPr>
  </w:style>
  <w:style w:type="character" w:styleId="Hyperlink">
    <w:name w:val="Hyperlink"/>
    <w:basedOn w:val="DefaultParagraphFont"/>
    <w:uiPriority w:val="99"/>
    <w:rsid w:val="00B33C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4960">
      <w:bodyDiv w:val="1"/>
      <w:marLeft w:val="0"/>
      <w:marRight w:val="0"/>
      <w:marTop w:val="0"/>
      <w:marBottom w:val="0"/>
      <w:divBdr>
        <w:top w:val="none" w:sz="0" w:space="0" w:color="auto"/>
        <w:left w:val="none" w:sz="0" w:space="0" w:color="auto"/>
        <w:bottom w:val="none" w:sz="0" w:space="0" w:color="auto"/>
        <w:right w:val="none" w:sz="0" w:space="0" w:color="auto"/>
      </w:divBdr>
    </w:div>
    <w:div w:id="735277374">
      <w:bodyDiv w:val="1"/>
      <w:marLeft w:val="0"/>
      <w:marRight w:val="0"/>
      <w:marTop w:val="0"/>
      <w:marBottom w:val="0"/>
      <w:divBdr>
        <w:top w:val="none" w:sz="0" w:space="0" w:color="auto"/>
        <w:left w:val="none" w:sz="0" w:space="0" w:color="auto"/>
        <w:bottom w:val="none" w:sz="0" w:space="0" w:color="auto"/>
        <w:right w:val="none" w:sz="0" w:space="0" w:color="auto"/>
      </w:divBdr>
    </w:div>
    <w:div w:id="19946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evillage.com" TargetMode="Externa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e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4D481-E969-4521-8049-00DB2A92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Satkovich , Scott *HS</dc:creator>
  <cp:keywords/>
  <dc:description/>
  <cp:lastModifiedBy>Satkovich, Scot *HS</cp:lastModifiedBy>
  <cp:revision>5</cp:revision>
  <cp:lastPrinted>2018-09-18T12:54:00Z</cp:lastPrinted>
  <dcterms:created xsi:type="dcterms:W3CDTF">2019-02-15T22:03:00Z</dcterms:created>
  <dcterms:modified xsi:type="dcterms:W3CDTF">2019-02-15T22:09:00Z</dcterms:modified>
</cp:coreProperties>
</file>